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tbl>
      <w:tblPr>
        <w:tblW w:w="0" w:type="auto"/>
        <w:tblLayout w:type="fixed"/>
        <w:tblLook w:val="0000"/>
      </w:tblPr>
      <w:tblGrid>
        <w:gridCol w:w="5070"/>
        <w:gridCol w:w="5103"/>
      </w:tblGrid>
      <w:tr>
        <w:trPr>
          <w:trHeight w:val="1702" w:hRule="exact"/>
        </w:trPr>
        <w:tc>
          <w:tcPr>
            <w:cnfStyle w:val="000010100000"/>
            <w:tcW w:w="5070" w:type="dxa"/>
          </w:tcPr>
          <w:p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drawing xmlns:mc="http://schemas.openxmlformats.org/markup-compatibility/2006">
                <wp:inline distT="0" distB="0" distL="0" distR="0">
                  <wp:extent cx="1190625" cy="10096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100000"/>
            <w:tcW w:w="5103" w:type="dxa"/>
            <w:vAlign w:val="center"/>
          </w:tcPr>
          <w:p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>
        <w:trPr>
          <w:trHeight w:val="440" w:hRule="exact"/>
        </w:trPr>
        <w:tc>
          <w:tcPr>
            <w:cnfStyle w:val="000010010000"/>
            <w:tcW w:w="5070" w:type="dxa"/>
            <w:vAlign w:val="center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Freuchie 10</w:t>
            </w:r>
            <w:r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cnfStyle w:val="000001010000"/>
            <w:tcW w:w="5103" w:type="dxa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Course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WE10/02</w:t>
            </w:r>
          </w:p>
        </w:tc>
      </w:tr>
      <w:tr>
        <w:trPr>
          <w:trHeight w:val="440" w:hRule="exact"/>
        </w:trPr>
        <w:tc>
          <w:tcPr>
            <w:cnfStyle w:val="000010100000"/>
            <w:tcW w:w="5070" w:type="dxa"/>
            <w:vAlign w:val="center"/>
          </w:tcPr>
          <w:p>
            <w:pPr>
              <w:pStyle w:val="Heading2"/>
              <w:rPr>
                <w:b/>
                <w:sz w:val="20"/>
              </w:rPr>
            </w:pPr>
          </w:p>
          <w:p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>
              <w:rPr>
                <w:b/>
                <w:sz w:val="20"/>
              </w:rPr>
              <w:t xml:space="preserve">/Review: </w:t>
            </w:r>
            <w:r>
              <w:rPr>
                <w:b/>
                <w:sz w:val="20"/>
              </w:rPr>
              <w:t>14.7.21</w:t>
            </w:r>
          </w:p>
        </w:tc>
        <w:tc>
          <w:tcPr>
            <w:cnfStyle w:val="000001100000"/>
            <w:tcW w:w="5103" w:type="dxa"/>
            <w:vAlign w:val="center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Mhairi Laffoley/Gavin Laffoley</w:t>
            </w:r>
          </w:p>
        </w:tc>
      </w:tr>
    </w:tbl>
    <w:p>
      <w:pPr>
        <w:rPr>
          <w:rFonts w:ascii="Arial" w:hAnsi="Arial"/>
          <w:sz w:val="36"/>
        </w:rPr>
      </w:pPr>
    </w:p>
    <w:p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/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cs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</w:rPr>
              <w:t>Course D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>scription: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cs="Arial" w:hAnsi="Arial"/>
                <w:sz w:val="18"/>
                <w:szCs w:val="18"/>
                <w:lang w:eastAsia="en-US"/>
              </w:rPr>
              <w:t>Start on A92 on opposite side of road from signpost showing New Inn roundabout approx 400 metres north of New Inn roundabout.  Proceed  north to Melville Lodges Roundabout</w:t>
            </w:r>
            <w:r>
              <w:rPr>
                <w:rFonts w:ascii="Arial" w:cs="Arial" w:hAnsi="Arial"/>
                <w:sz w:val="18"/>
                <w:szCs w:val="18"/>
                <w:lang w:eastAsia="en-US"/>
              </w:rPr>
              <w:t xml:space="preserve"> (4.8 miles)</w:t>
            </w:r>
            <w:r>
              <w:rPr>
                <w:rFonts w:ascii="Arial" w:cs="Arial" w:hAnsi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cs="Arial" w:hAnsi="Arial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Arial" w:cs="Arial" w:hAnsi="Arial"/>
                <w:sz w:val="18"/>
                <w:szCs w:val="18"/>
                <w:lang w:eastAsia="en-US"/>
              </w:rPr>
              <w:t>Turn left onto A91 and proceed to Trafalgar Junction</w:t>
            </w:r>
            <w:r>
              <w:rPr>
                <w:rFonts w:ascii="Arial" w:cs="Arial" w:hAnsi="Arial"/>
                <w:sz w:val="18"/>
                <w:szCs w:val="18"/>
                <w:lang w:eastAsia="en-US"/>
              </w:rPr>
              <w:t xml:space="preserve"> (5.8 miles)</w:t>
            </w:r>
            <w:r>
              <w:rPr>
                <w:rFonts w:ascii="Arial" w:cs="Arial" w:hAnsi="Arial"/>
                <w:sz w:val="18"/>
                <w:szCs w:val="18"/>
                <w:lang w:eastAsia="en-US"/>
              </w:rPr>
              <w:t>. Turn left onto B937 to junction with unclassified road at Heather Hall woods.</w:t>
            </w:r>
          </w:p>
          <w:p>
            <w:pPr>
              <w:rPr>
                <w:rFonts w:ascii="Arial" w:hAnsi="Arial"/>
                <w:b/>
              </w:rPr>
            </w:pPr>
            <w:r>
              <w:rPr>
                <w:rFonts w:ascii="Arial" w:cs="Arial" w:hAnsi="Arial"/>
                <w:sz w:val="18"/>
                <w:szCs w:val="18"/>
                <w:lang w:eastAsia="en-US"/>
              </w:rPr>
              <w:t>Turn right to Shiels Triangle.  At triangle turn left onto unclassified road to finish approx 60 metres short of Chalk Road (crossroads).</w:t>
            </w:r>
          </w:p>
          <w:p>
            <w:pPr>
              <w:rPr>
                <w:rFonts w:ascii="Arial" w:hAnsi="Arial"/>
                <w:b/>
              </w:rPr>
            </w:pPr>
          </w:p>
        </w:tc>
      </w:tr>
    </w:tbl>
    <w:p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>
          <w:trHeight w:val="861"/>
        </w:trPr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Traffic Flows: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Early Morning Light</w:t>
            </w: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</w:tc>
      </w:tr>
    </w:tbl>
    <w:p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>
          <w:trHeight w:val="956"/>
        </w:trPr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  <w:bCs/>
                <w:color w:val="ff0000"/>
              </w:rPr>
            </w:pPr>
            <w:r>
              <w:rPr>
                <w:rFonts w:ascii="Arial" w:hAnsi="Arial"/>
                <w:b/>
              </w:rPr>
              <w:t>Course/Event History</w:t>
            </w:r>
            <w:r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</w:rPr>
              <w:t>Been used for many years as a Scottish Cycling Event. This will be first time run under CTT Rules &amp; Regulations</w:t>
            </w:r>
          </w:p>
          <w:p>
            <w:pPr>
              <w:rPr>
                <w:rFonts w:ascii="Arial" w:hAnsi="Arial"/>
                <w:b/>
                <w:bCs/>
                <w:color w:val="ff0000"/>
              </w:rPr>
            </w:pPr>
          </w:p>
          <w:p>
            <w:pPr>
              <w:rPr>
                <w:rFonts w:ascii="Arial" w:hAnsi="Arial"/>
              </w:rPr>
            </w:pPr>
          </w:p>
        </w:tc>
      </w:tr>
    </w:tbl>
    <w:p>
      <w:pPr>
        <w:rPr>
          <w:rFonts w:ascii="Arial" w:hAnsi="Arial"/>
          <w:sz w:val="36"/>
        </w:rPr>
      </w:pPr>
    </w:p>
    <w:p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Key Identified Risks</w:t>
      </w:r>
    </w:p>
    <w:p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101"/>
        <w:gridCol w:w="2409"/>
        <w:gridCol w:w="2410"/>
        <w:gridCol w:w="1701"/>
        <w:gridCol w:w="2799"/>
      </w:tblGrid>
      <w:tr>
        <w:trPr>
          <w:cantSplit w:val="on"/>
          <w:trHeight w:val="600" w:hRule="exact"/>
          <w:jc w:val="center"/>
        </w:trPr>
        <w:tc>
          <w:tcPr>
            <w:cnfStyle w:val="000010100000"/>
            <w:tcW w:w="1101" w:type="dxa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cnfStyle w:val="000001100000"/>
            <w:tcW w:w="2409" w:type="dxa"/>
          </w:tcPr>
          <w:p>
            <w:pPr>
              <w:pStyle w:val="Heading3"/>
              <w:jc w:val="center"/>
              <w:rPr/>
            </w:pPr>
            <w:r>
              <w:t>Location</w:t>
            </w:r>
          </w:p>
        </w:tc>
        <w:tc>
          <w:tcPr>
            <w:cnfStyle w:val="000010100000"/>
            <w:tcW w:w="2410" w:type="dxa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cnfStyle w:val="000001100000"/>
            <w:tcW w:w="1701" w:type="dxa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 w:type="textWrapping"/>
            </w:r>
            <w:r>
              <w:rPr>
                <w:rFonts w:ascii="Arial" w:hAnsi="Arial"/>
                <w:b/>
              </w:rPr>
              <w:t>Low/Med/High</w:t>
            </w:r>
          </w:p>
        </w:tc>
        <w:tc>
          <w:tcPr>
            <w:cnfStyle w:val="000010100000"/>
            <w:tcW w:w="2799" w:type="dxa"/>
          </w:tcPr>
          <w:p>
            <w:pPr>
              <w:pStyle w:val="Heading4"/>
              <w:rPr/>
            </w:pPr>
            <w:r>
              <w:t>Measures to reduce Risk</w:t>
            </w:r>
            <w:r>
              <w:rPr/>
              <w:br w:type="textWrapping"/>
            </w:r>
            <w:r>
              <w:rPr>
                <w:b w:val="off"/>
              </w:rPr>
              <w:t>(if applicable)</w:t>
            </w:r>
          </w:p>
        </w:tc>
      </w:tr>
      <w:tr>
        <w:trPr>
          <w:cantSplit w:val="on"/>
          <w:trHeight w:val="1552" w:hRule="exact"/>
          <w:jc w:val="center"/>
        </w:trPr>
        <w:tc>
          <w:tcPr>
            <w:cnfStyle w:val="00001001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STAR</w:t>
            </w:r>
            <w:r>
              <w:rPr>
                <w:rFonts w:ascii="Arial" w:hAnsi="Arial"/>
                <w:b/>
                <w:sz w:val="16"/>
                <w:szCs w:val="16"/>
              </w:rPr>
              <w:t>T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 xml:space="preserve">Start </w:t>
            </w: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 xml:space="preserve">on A92 </w:t>
            </w: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 xml:space="preserve">on </w:t>
            </w: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>opposite</w:t>
            </w: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 xml:space="preserve"> side of road from signpost showing New Inn roundabout (approx. 400 metres north of roundabout)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</w:tc>
        <w:tc>
          <w:tcPr>
            <w:cnfStyle w:val="00000101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approaches.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in</w:t>
            </w:r>
            <w:r>
              <w:rPr>
                <w:rFonts w:ascii="Arial" w:hAnsi="Arial"/>
                <w:sz w:val="16"/>
                <w:szCs w:val="16"/>
              </w:rPr>
              <w:t xml:space="preserve"> high viz clothing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10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0.6 miles</w:t>
            </w: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Crossroads</w:t>
            </w: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both approaches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>arshal high viz clothing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01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0.7 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Crossroads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both approaches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10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1.9 miles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Y junction to left</w:t>
            </w: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on B937.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arrow highlighting riders stay on A92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01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2.5 miles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cs="Arial" w:hAnsi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>Staggered crossroads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both approaches</w:t>
            </w:r>
          </w:p>
        </w:tc>
      </w:tr>
      <w:tr>
        <w:trPr>
          <w:cantSplit w:val="on"/>
          <w:trHeight w:val="1730" w:hRule="exact"/>
          <w:jc w:val="center"/>
        </w:trPr>
        <w:tc>
          <w:tcPr>
            <w:cnfStyle w:val="00001010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3.1 miles</w:t>
            </w: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cs="Arial" w:hAnsi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Junction to right</w:t>
            </w: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opposite junction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01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4.4 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Roundabout. </w:t>
            </w:r>
          </w:p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Riders turn left taking 1</w:t>
            </w:r>
            <w:r>
              <w:rPr>
                <w:rFonts w:ascii="Arial" w:hAnsi="Arial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exit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Merging Traffic</w:t>
            </w:r>
          </w:p>
        </w:tc>
        <w:tc>
          <w:tcPr>
            <w:cnfStyle w:val="00000101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all approaches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 high viz clothing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10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5.8 miles</w:t>
            </w: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Turn left onto B937</w:t>
            </w: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approaches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 high viz clothing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01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8.1 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Staggered crossroads</w:t>
            </w:r>
          </w:p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Riders turn right</w:t>
            </w:r>
          </w:p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(unclassified road)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Possible oncoming traffic</w:t>
            </w:r>
          </w:p>
        </w:tc>
        <w:tc>
          <w:tcPr>
            <w:cnfStyle w:val="00000101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all approaches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Minimum 1 marshal high viz clothing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10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8.3 miles</w:t>
            </w: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Road narrows over bridge</w:t>
            </w: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for cars approaching riders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01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8.7 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Left Turn (veer)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on approach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arrow</w:t>
            </w:r>
          </w:p>
        </w:tc>
      </w:tr>
      <w:tr>
        <w:trPr>
          <w:cantSplit w:val="on"/>
          <w:trHeight w:val="2162" w:hRule="exact"/>
          <w:jc w:val="center"/>
        </w:trPr>
        <w:tc>
          <w:tcPr>
            <w:cnfStyle w:val="00001010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10 </w:t>
            </w:r>
            <w:r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FINISH: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on unclassified road approx. 60 metres from chalk road</w:t>
            </w: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</w:tc>
        <w:tc>
          <w:tcPr>
            <w:cnfStyle w:val="00000110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on approach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Time keeper/marshal in high viz clothing.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>
      <w:pPr>
        <w:rPr>
          <w:vanish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/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>
              <w:rPr>
                <w:rFonts w:ascii="Arial" w:hAnsi="Arial"/>
                <w:sz w:val="16"/>
                <w:szCs w:val="16"/>
              </w:rPr>
              <w:t xml:space="preserve">to pose a </w:t>
            </w:r>
            <w:r>
              <w:rPr>
                <w:rFonts w:ascii="Arial" w:hAnsi="Arial"/>
                <w:sz w:val="16"/>
                <w:szCs w:val="16"/>
              </w:rPr>
              <w:t>risk</w:t>
            </w:r>
            <w:r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</w:p>
          <w:p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>
      <w:pPr>
        <w:rPr>
          <w:rFonts w:ascii="Arial" w:hAnsi="Arial"/>
          <w:color w:val="0000ff"/>
          <w:sz w:val="16"/>
          <w:szCs w:val="16"/>
        </w:rPr>
      </w:pPr>
    </w:p>
    <w:p>
      <w:pPr>
        <w:rPr>
          <w:rFonts w:ascii="Arial" w:cs="Arial" w:hAnsi="Arial"/>
          <w:b/>
        </w:rPr>
      </w:pPr>
    </w:p>
    <w:p>
      <w:pPr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Date of original </w:t>
      </w:r>
      <w:r>
        <w:rPr>
          <w:rFonts w:ascii="Arial" w:cs="Arial" w:hAnsi="Arial"/>
          <w:b/>
        </w:rPr>
        <w:t>a</w:t>
      </w:r>
      <w:r>
        <w:rPr>
          <w:rFonts w:ascii="Arial" w:cs="Arial" w:hAnsi="Arial"/>
          <w:b/>
        </w:rPr>
        <w:t>ssessment</w:t>
      </w:r>
      <w:r>
        <w:rPr>
          <w:rFonts w:ascii="Arial" w:cs="Arial" w:hAnsi="Arial"/>
          <w:b/>
        </w:rPr>
        <w:t xml:space="preserve">: </w:t>
      </w:r>
      <w:r>
        <w:rPr>
          <w:rFonts w:ascii="Arial" w:cs="Arial" w:hAnsi="Arial"/>
          <w:b/>
        </w:rPr>
        <w:t>21.2.20</w:t>
      </w: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sectPr>
      <w:footerReference w:type="default" r:id="rId12"/>
      <w:pgSz w:w="11906" w:h="16838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BodyText"/>
      <w:jc w:val="center"/>
      <w:rPr/>
    </w:pPr>
    <w:r>
      <w:rPr/>
      <mc:AlternateContent>
        <mc:Choice Requires="wps">
          <w:drawing xmlns:mc="http://schemas.openxmlformats.org/markup-compatibility/2006">
            <wp:anchor allowOverlap="1" behindDoc="0" distT="0" distB="0" distL="114300" distR="114300" layoutInCell="1" locked="0" relativeHeight="251659264" simplePos="0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9526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1" name="Straight Connector 10"/>
                    <wps:cNvCnPr>
                      <a:cxnSpLocks noChangeShapeType="1"/>
                    </wps:cNvCnPr>
                    <wps:spPr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7B49BAE-4691-F096-4B8C45DD8522" coordsize="21600,21600" style="position:absolute;width:10pt;height:10pt;mso-width-percent:0;mso-width-relative:page;mso-height-percent:0;mso-height-relative:page;margin-top:0pt;margin-left:0pt;mso-wrap-distance-left:9pt;mso-wrap-distance-right:9pt;mso-wrap-distance-top:0pt;mso-wrap-distance-bottom:0pt;mso-position-horizontal-relative:margin;rotation:0.000000;z-index:251659264;" wrapcoords="0 0 0 21600 21600 21600 21600 0" strokecolor="#0000ff" strokeweight="0.75pt" o:spt="32" o:oned="t" path="m0,0 l21600,21600 e">
              <v:stroke color="#0000ff" filltype="solid" joinstyle="round" linestyle="single" mitterlimit="800000" weight="0.75pt"/>
              <w10:wrap type="through" side="both"/>
              <o:lock/>
            </v:shape>
          </w:pict>
        </mc:Fallback>
      </mc:AlternateContent>
    </w:r>
  </w:p>
  <w:p>
    <w:pPr>
      <w:pStyle w:val="Footer"/>
      <w:jc w:val="center"/>
      <w:rPr>
        <w:rFonts w:ascii="Arial" w:hAnsi="Arial"/>
        <w:color w:val="0000ff"/>
        <w:sz w:val="14"/>
        <w:szCs w:val="14"/>
      </w:rPr>
    </w:pPr>
    <w:r>
      <w:rPr>
        <w:rFonts w:ascii="Arial" w:hAnsi="Arial"/>
        <w:color w:val="0000ff"/>
        <w:sz w:val="16"/>
      </w:rPr>
      <w:t>CYCLING TIME TRIALS IS A COMPANY LIMITED BY GUARANTEE REGISTERED IN ENGLAND No: 4413282</w:t>
    </w:r>
    <w:r>
      <w:rPr>
        <w:rFonts w:ascii="Arial" w:hAnsi="Arial"/>
        <w:color w:val="0000ff"/>
        <w:sz w:val="16"/>
      </w:rPr>
      <w:br w:type="textWrapping"/>
    </w:r>
    <w:r>
      <w:rPr/>
      <w:drawing xmlns:mc="http://schemas.openxmlformats.org/markup-compatibility/2006">
        <wp:anchor allowOverlap="1" behindDoc="1" distT="0" distB="0" distL="114300" distR="114300" layoutInCell="1" locked="0" relativeHeight="251665408" simplePos="0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1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0000ff"/>
        <w:sz w:val="14"/>
        <w:szCs w:val="14"/>
      </w:rPr>
      <w:t>Registered Address:</w:t>
    </w:r>
    <w:r>
      <w:rPr>
        <w:sz w:val="14"/>
        <w:szCs w:val="14"/>
      </w:rPr>
      <w:t xml:space="preserve"> </w:t>
    </w:r>
    <w:r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  <w:r>
      <w:rPr/>
      <w:drawing xmlns:mc="http://schemas.openxmlformats.org/markup-compatibility/2006">
        <wp:anchor allowOverlap="1" behindDoc="1" distT="0" distB="0" distL="114300" distR="114300" layoutInCell="1" locked="0" relativeHeight="251663360" simplePos="0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1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6AA1"/>
    <w:rsid w:val="0005510B"/>
    <w:rsid w:val="00064047"/>
    <w:rsid w:val="00084A09"/>
    <w:rsid w:val="000A4B66"/>
    <w:rsid w:val="000E5A13"/>
    <w:rsid w:val="00190651"/>
    <w:rsid w:val="001A7958"/>
    <w:rsid w:val="001C5E13"/>
    <w:rsid w:val="001F0BFF"/>
    <w:rsid w:val="001F798C"/>
    <w:rsid w:val="00207F34"/>
    <w:rsid w:val="00294584"/>
    <w:rsid w:val="002B431D"/>
    <w:rsid w:val="002C7ED9"/>
    <w:rsid w:val="002F0C34"/>
    <w:rsid w:val="003006EF"/>
    <w:rsid w:val="00317AE6"/>
    <w:rsid w:val="003314EE"/>
    <w:rsid w:val="00335625"/>
    <w:rsid w:val="00340828"/>
    <w:rsid w:val="00340891"/>
    <w:rsid w:val="003B3B9A"/>
    <w:rsid w:val="00414CCD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825DF"/>
    <w:rsid w:val="00596BED"/>
    <w:rsid w:val="005C4520"/>
    <w:rsid w:val="00622307"/>
    <w:rsid w:val="006241AC"/>
    <w:rsid w:val="00647CA4"/>
    <w:rsid w:val="00655851"/>
    <w:rsid w:val="006566F1"/>
    <w:rsid w:val="00662266"/>
    <w:rsid w:val="00682A1C"/>
    <w:rsid w:val="00696599"/>
    <w:rsid w:val="0069700E"/>
    <w:rsid w:val="006A42DB"/>
    <w:rsid w:val="006A4AAD"/>
    <w:rsid w:val="006B042E"/>
    <w:rsid w:val="00706131"/>
    <w:rsid w:val="0072465E"/>
    <w:rsid w:val="00741F31"/>
    <w:rsid w:val="00777D1C"/>
    <w:rsid w:val="007A46E0"/>
    <w:rsid w:val="007C0868"/>
    <w:rsid w:val="007C7F41"/>
    <w:rsid w:val="007D3F82"/>
    <w:rsid w:val="00802F93"/>
    <w:rsid w:val="008331B2"/>
    <w:rsid w:val="00837A94"/>
    <w:rsid w:val="008905FE"/>
    <w:rsid w:val="00896421"/>
    <w:rsid w:val="008A32F8"/>
    <w:rsid w:val="008A73C1"/>
    <w:rsid w:val="008F630E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70946"/>
    <w:rsid w:val="00C819AB"/>
    <w:rsid w:val="00CB62B8"/>
    <w:rsid w:val="00CD0B6F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2344D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/>
  </w:docDefaults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9"/>
    <w:qFormat w:val="on"/>
    <w:pPr>
      <w:keepNext w:val="on"/>
      <w:jc w:val="center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uiPriority w:val="99"/>
    <w:qFormat w:val="on"/>
    <w:pPr>
      <w:keepNext w:val="on"/>
    </w:pPr>
    <w:rPr>
      <w:rFonts w:ascii="Arial" w:hAnsi="Arial"/>
      <w:b/>
    </w:rPr>
  </w:style>
  <w:style w:type="paragraph" w:styleId="Heading4">
    <w:name w:val="Heading 4"/>
    <w:basedOn w:val="Normal"/>
    <w:next w:val="Normal"/>
    <w:uiPriority w:val="99"/>
    <w:qFormat w:val="on"/>
    <w:pPr>
      <w:keepNext w:val="on"/>
      <w:jc w:val="center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99"/>
    <w:rPr>
      <w:rFonts w:ascii="Arial" w:hAnsi="Arial"/>
      <w:color w:val="000000"/>
      <w:sz w:val="16"/>
    </w:rPr>
  </w:style>
  <w:style w:type="table" w:styleId="TableGrid">
    <w:name w:val="Table Grid"/>
    <w:basedOn w:val="NormalTable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FooterChar">
    <w:name w:val="Footer Char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Keith Lawton</dc:creator>
  <cp:lastModifiedBy>William McMillan</cp:lastModifiedBy>
</cp:coreProperties>
</file>