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>
        <w:trPr>
          <w:trHeight w:val="1702" w:hRule="exact"/>
        </w:trPr>
        <w:tc>
          <w:tcPr>
            <w:cnfStyle w:val="000010100000"/>
            <w:tcW w:w="5070" w:type="dxa"/>
          </w:tcPr>
          <w:p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drawing xmlns:mc="http://schemas.openxmlformats.org/markup-compatibility/2006">
                <wp:inline distT="0" distB="0" distL="0" distR="0">
                  <wp:extent cx="1190625" cy="10096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>
        <w:trPr>
          <w:trHeight w:val="440" w:hRule="exact"/>
        </w:trPr>
        <w:tc>
          <w:tcPr>
            <w:cnfStyle w:val="000010010000"/>
            <w:tcW w:w="5070" w:type="dxa"/>
            <w:vAlign w:val="center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/>
              </w:rPr>
              <w:t>A886</w:t>
            </w:r>
          </w:p>
        </w:tc>
        <w:tc>
          <w:tcPr>
            <w:cnfStyle w:val="000001010000"/>
            <w:tcW w:w="5103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Course</w:t>
            </w:r>
            <w:r>
              <w:rPr>
                <w:rFonts w:ascii="Arial" w:hAnsi="Arial"/>
                <w:b/>
              </w:rPr>
              <w:t xml:space="preserve">:Ww10/05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Isle of Bute </w:t>
            </w:r>
            <w:r>
              <w:rPr>
                <w:rFonts w:ascii="Arial" w:hAnsi="Arial"/>
                <w:b/>
              </w:rPr>
              <w:t>10 mile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Time Trial</w:t>
            </w:r>
          </w:p>
        </w:tc>
      </w:tr>
      <w:tr>
        <w:trPr>
          <w:trHeight w:val="440" w:hRule="exact"/>
        </w:trPr>
        <w:tc>
          <w:tcPr>
            <w:cnfStyle w:val="000010100000"/>
            <w:tcW w:w="5070" w:type="dxa"/>
            <w:vAlign w:val="center"/>
          </w:tcPr>
          <w:p>
            <w:pPr>
              <w:pStyle w:val="Heading2"/>
              <w:rPr>
                <w:b/>
                <w:sz w:val="20"/>
              </w:rPr>
            </w:pPr>
          </w:p>
          <w:p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>
              <w:rPr>
                <w:b/>
                <w:sz w:val="20"/>
              </w:rPr>
              <w:t xml:space="preserve">/Review: </w:t>
            </w: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-0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21</w:t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Murray Doyle</w:t>
            </w: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cs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</w:rPr>
              <w:t>Course D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scription: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Starting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just past the Kames Bay T-junction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, the course goes out the A886 road to about 400m before ferry, with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dead-turn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roughly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at half-way point; the course then retraces back, and finishes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along Kames Bay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approximately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1k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m be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fore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the start</w:t>
            </w: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</w:tc>
      </w:tr>
    </w:tbl>
    <w:p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861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th</w:t>
            </w:r>
            <w:r>
              <w:rPr>
                <w:rFonts w:ascii="Arial" w:hAnsi="Arial"/>
              </w:rPr>
              <w:t xml:space="preserve">ere </w:t>
            </w:r>
            <w:r>
              <w:rPr>
                <w:rFonts w:ascii="Arial" w:hAnsi="Arial"/>
              </w:rPr>
              <w:t xml:space="preserve">is a </w:t>
            </w:r>
            <w:r>
              <w:rPr>
                <w:rFonts w:ascii="Arial" w:hAnsi="Arial"/>
              </w:rPr>
              <w:t>t-</w:t>
            </w:r>
            <w:r>
              <w:rPr>
                <w:rFonts w:ascii="Arial" w:hAnsi="Arial"/>
              </w:rPr>
              <w:t>junction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onto this road</w:t>
            </w:r>
            <w:r>
              <w:rPr>
                <w:rFonts w:ascii="Arial" w:hAnsi="Arial"/>
              </w:rPr>
              <w:t xml:space="preserve"> approximately 50m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before the start</w:t>
            </w:r>
            <w:r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after approximately .75km there is an entrance to a small housing estate (</w:t>
            </w:r>
            <w:r>
              <w:rPr>
                <w:rFonts w:ascii="Arial" w:hAnsi="Arial"/>
              </w:rPr>
              <w:t>Ettrickdale</w:t>
            </w:r>
            <w:r>
              <w:rPr>
                <w:rFonts w:ascii="Arial" w:hAnsi="Arial"/>
              </w:rPr>
              <w:t xml:space="preserve">); </w:t>
            </w:r>
            <w:r>
              <w:rPr>
                <w:rFonts w:ascii="Arial" w:hAnsi="Arial"/>
              </w:rPr>
              <w:t>there are some tracks leading up to farms</w:t>
            </w:r>
            <w:r>
              <w:rPr>
                <w:rFonts w:ascii="Arial" w:hAnsi="Arial"/>
              </w:rPr>
              <w:t xml:space="preserve"> and a public forest amenity</w:t>
            </w:r>
            <w:r>
              <w:rPr>
                <w:rFonts w:ascii="Arial" w:hAnsi="Arial"/>
              </w:rPr>
              <w:t xml:space="preserve">; there </w:t>
            </w:r>
            <w:r>
              <w:rPr>
                <w:rFonts w:ascii="Arial" w:hAnsi="Arial"/>
              </w:rPr>
              <w:t xml:space="preserve">limited </w:t>
            </w:r>
            <w:r>
              <w:rPr>
                <w:rFonts w:ascii="Arial" w:hAnsi="Arial"/>
              </w:rPr>
              <w:t xml:space="preserve">traffic coming from the </w:t>
            </w:r>
            <w:r>
              <w:rPr>
                <w:rFonts w:ascii="Arial" w:hAnsi="Arial"/>
              </w:rPr>
              <w:t>Colintraive</w:t>
            </w:r>
            <w:r>
              <w:rPr>
                <w:rFonts w:ascii="Arial" w:hAnsi="Arial"/>
              </w:rPr>
              <w:t xml:space="preserve"> ferry every 30 minutes and also limited traffic going to the ferry</w:t>
            </w: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956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/>
              </w:rPr>
              <w:t>Course/Event History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This course </w:t>
            </w:r>
            <w:r>
              <w:rPr>
                <w:rFonts w:ascii="Arial" w:hAnsi="Arial"/>
              </w:rPr>
              <w:t xml:space="preserve">has been used for at least 20 years. </w:t>
            </w:r>
          </w:p>
          <w:p>
            <w:pPr>
              <w:rPr>
                <w:rFonts w:ascii="Arial" w:hAnsi="Arial"/>
                <w:b/>
                <w:bCs/>
                <w:color w:val="ff0000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277"/>
        <w:gridCol w:w="2409"/>
        <w:gridCol w:w="2410"/>
        <w:gridCol w:w="1701"/>
        <w:gridCol w:w="2799"/>
      </w:tblGrid>
      <w:tr>
        <w:trPr>
          <w:cantSplit w:val="on"/>
          <w:trHeight w:val="600" w:hRule="exact"/>
          <w:jc w:val="center"/>
        </w:trPr>
        <w:tc>
          <w:tcPr>
            <w:cnfStyle w:val="000010100000"/>
            <w:tcW w:w="1277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cnfStyle w:val="000001100000"/>
            <w:tcW w:w="2409" w:type="dxa"/>
          </w:tcPr>
          <w:p>
            <w:pPr>
              <w:pStyle w:val="Heading3"/>
              <w:jc w:val="center"/>
              <w:rPr/>
            </w:pPr>
            <w:r>
              <w:t>Location</w:t>
            </w:r>
          </w:p>
        </w:tc>
        <w:tc>
          <w:tcPr>
            <w:cnfStyle w:val="000010100000"/>
            <w:tcW w:w="2410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 w:type="textWrapping"/>
            </w:r>
            <w:r>
              <w:rPr>
                <w:rFonts w:ascii="Arial" w:hAnsi="Arial"/>
                <w:b/>
              </w:rPr>
              <w:t>Low/Med/High</w:t>
            </w:r>
          </w:p>
        </w:tc>
        <w:tc>
          <w:tcPr>
            <w:cnfStyle w:val="000010100000"/>
            <w:tcW w:w="2799" w:type="dxa"/>
          </w:tcPr>
          <w:p>
            <w:pPr>
              <w:pStyle w:val="Heading4"/>
              <w:rPr/>
            </w:pPr>
            <w:r>
              <w:t>Measures to reduce Risk</w:t>
            </w:r>
            <w:r>
              <w:rPr/>
              <w:br w:type="textWrapping"/>
            </w:r>
            <w:r>
              <w:rPr>
                <w:b w:val="off"/>
              </w:rPr>
              <w:t>(if applicable)</w:t>
            </w:r>
          </w:p>
        </w:tc>
      </w:tr>
      <w:tr>
        <w:trPr>
          <w:cantSplit w:val="on"/>
          <w:trHeight w:val="784" w:hRule="exact"/>
          <w:jc w:val="center"/>
        </w:trPr>
        <w:tc>
          <w:tcPr>
            <w:cnfStyle w:val="00001001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STAR</w:t>
            </w:r>
            <w:r>
              <w:rPr>
                <w:rFonts w:ascii="Arial" w:hAnsi="Arial"/>
                <w:b/>
                <w:sz w:val="16"/>
                <w:szCs w:val="16"/>
              </w:rPr>
              <w:t>T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50m beyond the Kames T-junction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</w:t>
            </w:r>
            <w:r>
              <w:rPr>
                <w:rFonts w:ascii="Arial" w:hAnsi="Arial"/>
                <w:sz w:val="16"/>
                <w:szCs w:val="16"/>
              </w:rPr>
              <w:t xml:space="preserve"> and emerging</w:t>
            </w:r>
            <w:r>
              <w:rPr>
                <w:rFonts w:ascii="Arial" w:hAnsi="Arial"/>
                <w:sz w:val="16"/>
                <w:szCs w:val="16"/>
              </w:rPr>
              <w:t xml:space="preserve"> traffic</w:t>
            </w:r>
            <w:r>
              <w:rPr>
                <w:rFonts w:ascii="Arial" w:hAnsi="Arial"/>
                <w:sz w:val="16"/>
                <w:szCs w:val="16"/>
              </w:rPr>
              <w:t>/members of public</w:t>
            </w:r>
            <w:r>
              <w:rPr>
                <w:rFonts w:ascii="Arial" w:hAnsi="Arial"/>
                <w:sz w:val="16"/>
                <w:szCs w:val="16"/>
              </w:rPr>
              <w:t>/cyclists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Area </w:t>
            </w:r>
            <w:r>
              <w:rPr>
                <w:rFonts w:ascii="Arial" w:hAnsi="Arial"/>
                <w:sz w:val="16"/>
                <w:szCs w:val="16"/>
              </w:rPr>
              <w:t>carefully marshalled and signage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cantSplit w:val="on"/>
          <w:trHeight w:val="784" w:hRule="exact"/>
          <w:jc w:val="center"/>
        </w:trPr>
        <w:tc>
          <w:tcPr>
            <w:cnfStyle w:val="00001010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</w:t>
            </w:r>
            <w:r>
              <w:rPr>
                <w:rFonts w:ascii="Arial" w:hAnsi="Arial"/>
                <w:sz w:val="16"/>
                <w:szCs w:val="16"/>
              </w:rPr>
              <w:t>4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Possible traffic accessing </w:t>
            </w:r>
            <w:r>
              <w:rPr>
                <w:rFonts w:ascii="Arial" w:hAnsi="Arial"/>
                <w:bCs/>
                <w:sz w:val="16"/>
                <w:szCs w:val="16"/>
              </w:rPr>
              <w:t>Ettrickdale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housing estate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and emerging traffic/members of public/cyclists</w:t>
            </w: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 to raise awareness</w:t>
            </w:r>
          </w:p>
        </w:tc>
      </w:tr>
      <w:tr>
        <w:trPr>
          <w:cantSplit w:val="on"/>
          <w:trHeight w:val="784" w:hRule="exact"/>
          <w:jc w:val="center"/>
        </w:trPr>
        <w:tc>
          <w:tcPr>
            <w:cnfStyle w:val="00001001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Various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Farms and public forest </w:t>
            </w:r>
            <w:r>
              <w:rPr>
                <w:rFonts w:ascii="Arial" w:hAnsi="Arial"/>
                <w:bCs/>
                <w:sz w:val="16"/>
                <w:szCs w:val="16"/>
              </w:rPr>
              <w:t>exits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and emerging traffic/members of public/cyclists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 to raise awareness</w:t>
            </w:r>
          </w:p>
        </w:tc>
      </w:tr>
      <w:tr>
        <w:trPr>
          <w:cantSplit w:val="on"/>
          <w:trHeight w:val="569" w:hRule="exact"/>
          <w:jc w:val="center"/>
        </w:trPr>
        <w:tc>
          <w:tcPr>
            <w:cnfStyle w:val="00001010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Dead turn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coming from ferry periodically</w:t>
            </w:r>
            <w:r>
              <w:rPr>
                <w:rFonts w:ascii="Arial" w:hAnsi="Arial"/>
                <w:sz w:val="16"/>
                <w:szCs w:val="16"/>
              </w:rPr>
              <w:t xml:space="preserve">; </w:t>
            </w:r>
            <w:r>
              <w:rPr>
                <w:rFonts w:ascii="Arial" w:hAnsi="Arial"/>
                <w:sz w:val="16"/>
                <w:szCs w:val="16"/>
              </w:rPr>
              <w:t>also</w:t>
            </w:r>
            <w:r>
              <w:rPr>
                <w:rFonts w:ascii="Arial" w:hAnsi="Arial"/>
                <w:sz w:val="16"/>
                <w:szCs w:val="16"/>
              </w:rPr>
              <w:t xml:space="preserve"> traffic travelling to the ferry</w:t>
            </w: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ignage</w:t>
            </w:r>
            <w:r>
              <w:rPr>
                <w:rFonts w:ascii="Arial" w:hAnsi="Arial"/>
                <w:sz w:val="16"/>
                <w:szCs w:val="16"/>
              </w:rPr>
              <w:t xml:space="preserve"> and marshal</w:t>
            </w:r>
            <w:r>
              <w:rPr>
                <w:rFonts w:ascii="Arial" w:hAnsi="Arial"/>
                <w:sz w:val="16"/>
                <w:szCs w:val="16"/>
              </w:rPr>
              <w:t xml:space="preserve"> x 2</w:t>
            </w:r>
          </w:p>
        </w:tc>
      </w:tr>
      <w:tr>
        <w:trPr>
          <w:cantSplit w:val="on"/>
          <w:trHeight w:val="435" w:hRule="exact"/>
          <w:jc w:val="center"/>
        </w:trPr>
        <w:tc>
          <w:tcPr>
            <w:cnfStyle w:val="00001001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cs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FINISH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 riders/traffic/members of public</w:t>
            </w:r>
          </w:p>
        </w:tc>
        <w:tc>
          <w:tcPr>
            <w:cnfStyle w:val="00000101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ignage</w:t>
            </w:r>
            <w:r>
              <w:rPr>
                <w:rFonts w:ascii="Arial" w:hAnsi="Arial"/>
                <w:sz w:val="16"/>
                <w:szCs w:val="16"/>
              </w:rPr>
              <w:t xml:space="preserve"> and marshals</w:t>
            </w:r>
          </w:p>
        </w:tc>
      </w:tr>
      <w:tr>
        <w:trPr>
          <w:cantSplit w:val="on"/>
          <w:trHeight w:val="649" w:hRule="exact"/>
          <w:jc w:val="center"/>
        </w:trPr>
        <w:tc>
          <w:tcPr>
            <w:cnfStyle w:val="00001010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cantSplit w:val="on"/>
          <w:trHeight w:val="557" w:hRule="exact"/>
          <w:jc w:val="center"/>
        </w:trPr>
        <w:tc>
          <w:tcPr>
            <w:cnfStyle w:val="00001001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cantSplit w:val="on"/>
          <w:trHeight w:val="566" w:hRule="exact"/>
          <w:jc w:val="center"/>
        </w:trPr>
        <w:tc>
          <w:tcPr>
            <w:cnfStyle w:val="000010100000"/>
            <w:tcW w:w="1277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>
              <w:rPr>
                <w:rFonts w:ascii="Arial" w:hAnsi="Arial"/>
                <w:sz w:val="16"/>
                <w:szCs w:val="16"/>
              </w:rPr>
              <w:t xml:space="preserve">to pose a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  <w:r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>
      <w:pPr>
        <w:rPr>
          <w:rFonts w:ascii="Arial" w:hAnsi="Arial"/>
          <w:color w:val="0000ff"/>
          <w:sz w:val="16"/>
          <w:szCs w:val="16"/>
        </w:rPr>
      </w:pPr>
    </w:p>
    <w:p>
      <w:pPr>
        <w:rPr>
          <w:rFonts w:ascii="Arial" w:cs="Arial" w:hAnsi="Arial"/>
          <w:b/>
        </w:rPr>
      </w:pPr>
    </w:p>
    <w:p>
      <w:pPr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Date of original </w:t>
      </w:r>
      <w:r>
        <w:rPr>
          <w:rFonts w:ascii="Arial" w:cs="Arial" w:hAnsi="Arial"/>
          <w:b/>
        </w:rPr>
        <w:t>a</w:t>
      </w:r>
      <w:r>
        <w:rPr>
          <w:rFonts w:ascii="Arial" w:cs="Arial" w:hAnsi="Arial"/>
          <w:b/>
        </w:rPr>
        <w:t>ssessment</w:t>
      </w:r>
      <w:r>
        <w:rPr>
          <w:rFonts w:ascii="Arial" w:cs="Arial" w:hAnsi="Arial"/>
          <w:b/>
        </w:rPr>
        <w:t xml:space="preserve">: </w:t>
      </w:r>
      <w:r>
        <w:rPr>
          <w:rFonts w:ascii="Arial" w:cs="Arial" w:hAnsi="Arial"/>
          <w:b/>
        </w:rPr>
        <w:t>07-08-18</w:t>
      </w: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sectPr>
      <w:footerReference w:type="default" r:id="rId12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BodyText"/>
      <w:jc w:val="center"/>
      <w:rPr/>
    </w:pP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59264" simplePos="0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9526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" name="Straight Connector 10"/>
                    <wps:cNvCnPr>
                      <a:cxnSpLocks noChangeShapeType="1"/>
                    </wps:cNvCnPr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4A84967-4CF4-B2EC-20DA76C7A2AB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mso-position-horizontal-relative:margin;rotation:0.000000;z-index:251659264;" wrapcoords="0 0 0 21600 21600 21600 21600 0" strokecolor="#0000ff" strokeweight="0.75pt" o:spt="32" o:oned="t" path="m0,0 l21600,21600 e">
              <v:stroke color="#0000ff" filltype="solid" joinstyle="round" linestyle="single" mitterlimit="800000" weight="0.75pt"/>
              <w10:wrap type="through" side="both"/>
              <o:lock/>
            </v:shape>
          </w:pict>
        </mc:Fallback>
      </mc:AlternateContent>
    </w:r>
  </w:p>
  <w:p>
    <w:pPr>
      <w:pStyle w:val="Footer"/>
      <w:jc w:val="center"/>
      <w:rPr>
        <w:rFonts w:ascii="Arial" w:hAnsi="Arial"/>
        <w:color w:val="0000ff"/>
        <w:sz w:val="14"/>
        <w:szCs w:val="14"/>
      </w:rPr>
    </w:pPr>
    <w:r>
      <w:rPr>
        <w:rFonts w:ascii="Arial" w:hAnsi="Arial"/>
        <w:color w:val="0000ff"/>
        <w:sz w:val="16"/>
      </w:rPr>
      <w:t>CYCLING TIME TRIALS IS A COMPANY LIMITED BY GUARANTEE REGISTERED IN ENGLAND No: 4413282</w:t>
    </w:r>
    <w:r>
      <w:rPr>
        <w:rFonts w:ascii="Arial" w:hAnsi="Arial"/>
        <w:color w:val="0000ff"/>
        <w:sz w:val="16"/>
      </w:rPr>
      <w:br w:type="textWrapping"/>
    </w:r>
    <w:r>
      <w:rPr/>
      <w:drawing xmlns:mc="http://schemas.openxmlformats.org/markup-compatibility/2006">
        <wp:anchor allowOverlap="1" behindDoc="1" distT="0" distB="0" distL="114300" distR="114300" layoutInCell="1" locked="0" relativeHeight="251665408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ff"/>
        <w:sz w:val="14"/>
        <w:szCs w:val="14"/>
      </w:rPr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</w:rPr>
      <w:t xml:space="preserve">C/O DJH Accountants Ltd, </w:t>
    </w:r>
    <w:r>
      <w:rPr>
        <w:rFonts w:ascii="Arial" w:hAnsi="Arial"/>
        <w:color w:val="0000ff"/>
        <w:sz w:val="14"/>
        <w:szCs w:val="14"/>
      </w:rPr>
      <w:t>Porthill</w:t>
    </w:r>
    <w:r>
      <w:rPr>
        <w:rFonts w:ascii="Arial" w:hAnsi="Arial"/>
        <w:color w:val="0000ff"/>
        <w:sz w:val="14"/>
        <w:szCs w:val="14"/>
      </w:rPr>
      <w:t xml:space="preserve"> Lodge, High Street, </w:t>
    </w:r>
    <w:r>
      <w:rPr>
        <w:rFonts w:ascii="Arial" w:hAnsi="Arial"/>
        <w:color w:val="0000ff"/>
        <w:sz w:val="14"/>
        <w:szCs w:val="14"/>
      </w:rPr>
      <w:t>Wolstanton</w:t>
    </w:r>
    <w:r>
      <w:rPr>
        <w:rFonts w:ascii="Arial" w:hAnsi="Arial"/>
        <w:color w:val="0000ff"/>
        <w:sz w:val="14"/>
        <w:szCs w:val="14"/>
      </w:rPr>
      <w:t>, Newcastle under Lyme, Staffordshire, ST5 0EZ</w:t>
    </w:r>
    <w:r>
      <w:rPr/>
      <w:drawing xmlns:mc="http://schemas.openxmlformats.org/markup-compatibility/2006">
        <wp:anchor allowOverlap="1" behindDoc="1" distT="0" distB="0" distL="114300" distR="114300" layoutInCell="1" locked="0" relativeHeight="251663360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01CA"/>
    <w:rsid w:val="00036AA1"/>
    <w:rsid w:val="0005510B"/>
    <w:rsid w:val="00064047"/>
    <w:rsid w:val="000733F1"/>
    <w:rsid w:val="00084A09"/>
    <w:rsid w:val="000A4B66"/>
    <w:rsid w:val="000C3BBC"/>
    <w:rsid w:val="000E5A13"/>
    <w:rsid w:val="00190651"/>
    <w:rsid w:val="001A7958"/>
    <w:rsid w:val="001F0BFF"/>
    <w:rsid w:val="001F798C"/>
    <w:rsid w:val="00265A8D"/>
    <w:rsid w:val="00294584"/>
    <w:rsid w:val="002D5B87"/>
    <w:rsid w:val="002F0C34"/>
    <w:rsid w:val="00317AE6"/>
    <w:rsid w:val="003314EE"/>
    <w:rsid w:val="00335625"/>
    <w:rsid w:val="00340828"/>
    <w:rsid w:val="00340891"/>
    <w:rsid w:val="003B3B9A"/>
    <w:rsid w:val="00425F7F"/>
    <w:rsid w:val="00444B78"/>
    <w:rsid w:val="00447C52"/>
    <w:rsid w:val="004627CB"/>
    <w:rsid w:val="004909A4"/>
    <w:rsid w:val="004A19DC"/>
    <w:rsid w:val="004D16E8"/>
    <w:rsid w:val="004E0C37"/>
    <w:rsid w:val="0050298C"/>
    <w:rsid w:val="005116C4"/>
    <w:rsid w:val="00595460"/>
    <w:rsid w:val="00596BED"/>
    <w:rsid w:val="005B069D"/>
    <w:rsid w:val="005C4520"/>
    <w:rsid w:val="00622307"/>
    <w:rsid w:val="0062692B"/>
    <w:rsid w:val="00647CA4"/>
    <w:rsid w:val="006566F1"/>
    <w:rsid w:val="00657ABC"/>
    <w:rsid w:val="00662266"/>
    <w:rsid w:val="00665A90"/>
    <w:rsid w:val="00696599"/>
    <w:rsid w:val="0069700E"/>
    <w:rsid w:val="006A42DB"/>
    <w:rsid w:val="006A4AAD"/>
    <w:rsid w:val="006B042E"/>
    <w:rsid w:val="00741F31"/>
    <w:rsid w:val="00772FBB"/>
    <w:rsid w:val="00777D1C"/>
    <w:rsid w:val="007A46E0"/>
    <w:rsid w:val="007C0868"/>
    <w:rsid w:val="007D3F82"/>
    <w:rsid w:val="007D7803"/>
    <w:rsid w:val="00802F93"/>
    <w:rsid w:val="008146BA"/>
    <w:rsid w:val="00837A94"/>
    <w:rsid w:val="008513A7"/>
    <w:rsid w:val="00882706"/>
    <w:rsid w:val="008905FE"/>
    <w:rsid w:val="00896421"/>
    <w:rsid w:val="008A73C1"/>
    <w:rsid w:val="008B25D9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A1C19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0307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5465"/>
    <w:rsid w:val="00D76DE2"/>
    <w:rsid w:val="00D90C0D"/>
    <w:rsid w:val="00DA08D3"/>
    <w:rsid w:val="00DB7FE3"/>
    <w:rsid w:val="00DC6C62"/>
    <w:rsid w:val="00DE2067"/>
    <w:rsid w:val="00E05E20"/>
    <w:rsid w:val="00E10281"/>
    <w:rsid w:val="00E15CB0"/>
    <w:rsid w:val="00E22E8B"/>
    <w:rsid w:val="00E531E2"/>
    <w:rsid w:val="00E623B3"/>
    <w:rsid w:val="00E671EE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3007A"/>
    <w:rsid w:val="00F40FAC"/>
    <w:rsid w:val="00F831F4"/>
    <w:rsid w:val="00FE5AA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docId w15:val="{41E06855-828A-41AF-AAFE-961688E64335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99"/>
    <w:rPr>
      <w:rFonts w:ascii="Arial" w:hAnsi="Arial"/>
      <w:color w:val="000000"/>
      <w:sz w:val="16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FooterChar">
    <w:name w:val="Footer Char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William McMillan</cp:lastModifiedBy>
</cp:coreProperties>
</file>